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1EF" w:rsidRPr="00D86433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D86433">
        <w:rPr>
          <w:rFonts w:ascii="Arial" w:hAnsi="Arial" w:cs="Arial"/>
          <w:b/>
          <w:bCs/>
          <w:color w:val="0070C0"/>
          <w:sz w:val="20"/>
          <w:szCs w:val="20"/>
        </w:rPr>
        <w:t>Teil B9 Detaillierte Regelungen für Gebäude und Innenräume</w:t>
      </w:r>
    </w:p>
    <w:p w:rsidR="00D86433" w:rsidRDefault="00D86433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für Gebäude und Innenräume beim Projekt</w:t>
      </w:r>
    </w:p>
    <w:p w:rsidR="00C5326D" w:rsidRDefault="00C5326D" w:rsidP="00C5326D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57E1" w:rsidRPr="007B01EF" w:rsidRDefault="00E157E1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 1 Leistungen des Auftragnehmers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1.1 Grundleistungen (§34 und Anlage 10 HOAI)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Der AG beauftragt den AN mit den folgenden Leistungsphasen: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Gebäude</w:t>
      </w:r>
    </w:p>
    <w:p w:rsidR="00C5326D" w:rsidRDefault="00C5326D" w:rsidP="00C5326D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E157E1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E157E1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von der HOAI</w:t>
      </w:r>
    </w:p>
    <w:p w:rsidR="00E157E1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Bewertung</w:t>
      </w:r>
      <w:r w:rsidRPr="00E157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abweichende</w:t>
      </w:r>
    </w:p>
    <w:p w:rsidR="00E157E1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gem. HOAI</w:t>
      </w:r>
      <w:r w:rsidRPr="00E157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Bewertung</w:t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Leistungsphasen</w:t>
      </w:r>
    </w:p>
    <w:p w:rsidR="007B01EF" w:rsidRPr="007B01EF" w:rsidRDefault="007B01EF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*</w:t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1429772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Grundlagenermittlung (Leistungsphase 1)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2 %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1204291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Vorplanung (Leistungsphase 2)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7 %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-270464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Entwurfsplanung (Leistungsphase 3)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15 %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-1839066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Genehmigungsplanung (Leistungsphase 4)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3 %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5</w:t>
      </w:r>
      <w:r w:rsidR="00E157E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2106300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Ausführungsplanung (Leistungsphase 5)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25 %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6 </w:t>
      </w:r>
      <w:sdt>
        <w:sdtPr>
          <w:rPr>
            <w:rFonts w:ascii="Arial" w:hAnsi="Arial" w:cs="Arial"/>
            <w:sz w:val="20"/>
            <w:szCs w:val="20"/>
          </w:rPr>
          <w:id w:val="-1953464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Vorbereitung der Vergabe (Leistungsphase 6)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10 %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213020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Mitwirken bei der Vergabe (Leistungsphase 7)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4 %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P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810834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Objektüberwachung (Leistungsphase 8)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32 %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7B01EF" w:rsidRDefault="007B01EF" w:rsidP="0041173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-1963254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7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Objektbetreuung (Leistungsphase 9)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2 %</w:t>
      </w:r>
      <w:r w:rsidR="00411737">
        <w:rPr>
          <w:rFonts w:ascii="Arial" w:hAnsi="Arial" w:cs="Arial"/>
          <w:sz w:val="20"/>
          <w:szCs w:val="20"/>
        </w:rPr>
        <w:tab/>
      </w:r>
      <w:r w:rsidR="00411737">
        <w:rPr>
          <w:shd w:val="clear" w:color="auto" w:fill="D9D9D9" w:themeFill="background1" w:themeFillShade="D9"/>
        </w:rPr>
        <w:tab/>
      </w:r>
    </w:p>
    <w:p w:rsidR="00E157E1" w:rsidRPr="007B01EF" w:rsidRDefault="00E157E1" w:rsidP="00140F0C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* Die von der HOAI abweichende Bewertung ergibt sich daraus, dass die folgenden Leistungen statt vom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 xml:space="preserve">AN durch den AG oder den nachfolgend benannten weiteren Auftragnehmern </w:t>
      </w:r>
      <w:r w:rsidR="00E157E1">
        <w:rPr>
          <w:rFonts w:ascii="Arial" w:hAnsi="Arial" w:cs="Arial"/>
          <w:sz w:val="20"/>
          <w:szCs w:val="20"/>
        </w:rPr>
        <w:t>e</w:t>
      </w:r>
      <w:r w:rsidRPr="007B01EF">
        <w:rPr>
          <w:rFonts w:ascii="Arial" w:hAnsi="Arial" w:cs="Arial"/>
          <w:sz w:val="20"/>
          <w:szCs w:val="20"/>
        </w:rPr>
        <w:t>igenverantwortlich erbracht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werden:</w:t>
      </w:r>
    </w:p>
    <w:p w:rsidR="00C5326D" w:rsidRDefault="00C5326D" w:rsidP="00C5326D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157E1" w:rsidRDefault="00E157E1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B01EF" w:rsidRPr="00E157E1" w:rsidRDefault="007B01EF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157E1">
        <w:rPr>
          <w:rFonts w:ascii="Arial" w:hAnsi="Arial" w:cs="Arial"/>
          <w:b/>
          <w:sz w:val="20"/>
          <w:szCs w:val="20"/>
        </w:rPr>
        <w:t>Innenräume</w:t>
      </w:r>
    </w:p>
    <w:p w:rsidR="00E157E1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von der HOAI</w:t>
      </w:r>
    </w:p>
    <w:p w:rsidR="00E157E1" w:rsidRPr="007B01EF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Leistungsphasen</w:t>
      </w:r>
      <w:r w:rsidRPr="00E157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Bewertung</w:t>
      </w:r>
      <w:r w:rsidRP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abweichende</w:t>
      </w:r>
    </w:p>
    <w:p w:rsidR="00E157E1" w:rsidRPr="007B01EF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gem. HOAI</w:t>
      </w:r>
      <w:r w:rsidRPr="00E157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Bewertung*</w:t>
      </w:r>
    </w:p>
    <w:p w:rsidR="00E157E1" w:rsidRPr="007B01EF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C5326D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 w:rsidRPr="007B01EF">
        <w:rPr>
          <w:rFonts w:ascii="Arial" w:hAnsi="Arial" w:cs="Arial"/>
          <w:sz w:val="20"/>
          <w:szCs w:val="20"/>
        </w:rPr>
        <w:t xml:space="preserve">10 </w:t>
      </w:r>
      <w:sdt>
        <w:sdtPr>
          <w:rPr>
            <w:rFonts w:ascii="Arial" w:hAnsi="Arial" w:cs="Arial"/>
            <w:sz w:val="20"/>
            <w:szCs w:val="20"/>
          </w:rPr>
          <w:id w:val="-1553690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Grundlagenermittlung (Leistungsphase 1)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2 %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C5326D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 w:rsidRPr="007B01EF">
        <w:rPr>
          <w:rFonts w:ascii="Arial" w:hAnsi="Arial" w:cs="Arial"/>
          <w:sz w:val="20"/>
          <w:szCs w:val="20"/>
        </w:rPr>
        <w:t xml:space="preserve">11 </w:t>
      </w:r>
      <w:sdt>
        <w:sdtPr>
          <w:rPr>
            <w:rFonts w:ascii="Arial" w:hAnsi="Arial" w:cs="Arial"/>
            <w:sz w:val="20"/>
            <w:szCs w:val="20"/>
          </w:rPr>
          <w:id w:val="1710455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Vorplanung (Leistungsphase 2)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7 %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C5326D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 w:rsidRPr="007B01EF">
        <w:rPr>
          <w:rFonts w:ascii="Arial" w:hAnsi="Arial" w:cs="Arial"/>
          <w:sz w:val="20"/>
          <w:szCs w:val="20"/>
        </w:rPr>
        <w:t xml:space="preserve">12 </w:t>
      </w:r>
      <w:sdt>
        <w:sdtPr>
          <w:rPr>
            <w:rFonts w:ascii="Arial" w:hAnsi="Arial" w:cs="Arial"/>
            <w:sz w:val="20"/>
            <w:szCs w:val="20"/>
          </w:rPr>
          <w:id w:val="25063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Entwurfsplanung (Leistungsphase 3)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15 %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C5326D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 w:rsidRPr="007B01EF">
        <w:rPr>
          <w:rFonts w:ascii="Arial" w:hAnsi="Arial" w:cs="Arial"/>
          <w:sz w:val="20"/>
          <w:szCs w:val="20"/>
        </w:rPr>
        <w:t xml:space="preserve">13 </w:t>
      </w:r>
      <w:sdt>
        <w:sdtPr>
          <w:rPr>
            <w:rFonts w:ascii="Arial" w:hAnsi="Arial" w:cs="Arial"/>
            <w:sz w:val="20"/>
            <w:szCs w:val="20"/>
          </w:rPr>
          <w:id w:val="-1620216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Genehmigungsplanung (Leistungsphase 4)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2 %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C5326D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 w:rsidRPr="007B01EF">
        <w:rPr>
          <w:rFonts w:ascii="Arial" w:hAnsi="Arial" w:cs="Arial"/>
          <w:sz w:val="20"/>
          <w:szCs w:val="20"/>
        </w:rPr>
        <w:t xml:space="preserve">14 </w:t>
      </w:r>
      <w:sdt>
        <w:sdtPr>
          <w:rPr>
            <w:rFonts w:ascii="Arial" w:hAnsi="Arial" w:cs="Arial"/>
            <w:sz w:val="20"/>
            <w:szCs w:val="20"/>
          </w:rPr>
          <w:id w:val="-1592156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Ausführungsplanung (Leistungsphase 5)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30 %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C5326D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 w:rsidRPr="007B01EF">
        <w:rPr>
          <w:rFonts w:ascii="Arial" w:hAnsi="Arial" w:cs="Arial"/>
          <w:sz w:val="20"/>
          <w:szCs w:val="20"/>
        </w:rPr>
        <w:t xml:space="preserve">15 </w:t>
      </w:r>
      <w:sdt>
        <w:sdtPr>
          <w:rPr>
            <w:rFonts w:ascii="Arial" w:hAnsi="Arial" w:cs="Arial"/>
            <w:sz w:val="20"/>
            <w:szCs w:val="20"/>
          </w:rPr>
          <w:id w:val="-915857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Vorbereitung der Vergabe (Leistungsphase 6)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7 %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C5326D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 w:rsidRPr="007B01EF">
        <w:rPr>
          <w:rFonts w:ascii="Arial" w:hAnsi="Arial" w:cs="Arial"/>
          <w:sz w:val="20"/>
          <w:szCs w:val="20"/>
        </w:rPr>
        <w:t xml:space="preserve">16 </w:t>
      </w:r>
      <w:sdt>
        <w:sdtPr>
          <w:rPr>
            <w:rFonts w:ascii="Arial" w:hAnsi="Arial" w:cs="Arial"/>
            <w:sz w:val="20"/>
            <w:szCs w:val="20"/>
          </w:rPr>
          <w:id w:val="405813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Mitwirken bei der Vergabe (Leistungsphase 7)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3 %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C5326D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shd w:val="clear" w:color="auto" w:fill="D9D9D9" w:themeFill="background1" w:themeFillShade="D9"/>
        </w:rPr>
      </w:pPr>
      <w:r w:rsidRPr="007B01EF">
        <w:rPr>
          <w:rFonts w:ascii="Arial" w:hAnsi="Arial" w:cs="Arial"/>
          <w:sz w:val="20"/>
          <w:szCs w:val="20"/>
        </w:rPr>
        <w:t xml:space="preserve">17 </w:t>
      </w:r>
      <w:sdt>
        <w:sdtPr>
          <w:rPr>
            <w:rFonts w:ascii="Arial" w:hAnsi="Arial" w:cs="Arial"/>
            <w:sz w:val="20"/>
            <w:szCs w:val="20"/>
          </w:rPr>
          <w:id w:val="499011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Objektüberwachung (Leistungsphase 8)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32 %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7B01EF" w:rsidRDefault="007B01EF" w:rsidP="00C5326D">
      <w:pPr>
        <w:keepNext/>
        <w:keepLines/>
        <w:tabs>
          <w:tab w:val="left" w:pos="1418"/>
          <w:tab w:val="left" w:pos="6237"/>
          <w:tab w:val="left" w:pos="7797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18 </w:t>
      </w:r>
      <w:sdt>
        <w:sdtPr>
          <w:rPr>
            <w:rFonts w:ascii="Arial" w:hAnsi="Arial" w:cs="Arial"/>
            <w:sz w:val="20"/>
            <w:szCs w:val="20"/>
          </w:rPr>
          <w:id w:val="1990969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 xml:space="preserve">Objektbetreuung (Leistungsphase 9) </w:t>
      </w:r>
      <w:r w:rsidR="00E157E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2 %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E157E1" w:rsidRPr="007B01EF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* Die von der HOAI abweichende Bewertung ergibt sich daraus, dass die folgenden Leistungen statt vom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 xml:space="preserve">AN durch den AG oder den nachfolgend benannten weiteren Auftragnehmern </w:t>
      </w:r>
      <w:r w:rsidR="00E157E1">
        <w:rPr>
          <w:rFonts w:ascii="Arial" w:hAnsi="Arial" w:cs="Arial"/>
          <w:sz w:val="20"/>
          <w:szCs w:val="20"/>
        </w:rPr>
        <w:t>e</w:t>
      </w:r>
      <w:r w:rsidRPr="007B01EF">
        <w:rPr>
          <w:rFonts w:ascii="Arial" w:hAnsi="Arial" w:cs="Arial"/>
          <w:sz w:val="20"/>
          <w:szCs w:val="20"/>
        </w:rPr>
        <w:t>igenverantwortlich erbracht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werden:</w:t>
      </w:r>
    </w:p>
    <w:p w:rsidR="00C5326D" w:rsidRDefault="00C5326D" w:rsidP="00C5326D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57E1" w:rsidRDefault="00E157E1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Für den Fall, dass ganze Leistungsphasen nicht beauftragt werden sollten: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  <w:r w:rsidR="00E157E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p w:rsidR="00C5326D" w:rsidRDefault="00C5326D" w:rsidP="00C5326D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E157E1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57E1" w:rsidRDefault="00E157E1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Statt dieser Leistungsphasen wird beauftragt:</w:t>
      </w:r>
    </w:p>
    <w:p w:rsidR="007B01EF" w:rsidRPr="007B01EF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gemäß</w:t>
      </w:r>
    </w:p>
    <w:p w:rsidR="007B01EF" w:rsidRPr="007B01EF" w:rsidRDefault="00E157E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§</w:t>
      </w:r>
      <w:r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9 HOAI</w:t>
      </w:r>
    </w:p>
    <w:p w:rsidR="00C5326D" w:rsidRDefault="007B01EF" w:rsidP="00C5326D">
      <w:pPr>
        <w:tabs>
          <w:tab w:val="left" w:pos="3969"/>
          <w:tab w:val="left" w:pos="7088"/>
          <w:tab w:val="left" w:pos="822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19 </w:t>
      </w:r>
      <w:sdt>
        <w:sdtPr>
          <w:rPr>
            <w:rFonts w:ascii="Arial" w:hAnsi="Arial" w:cs="Arial"/>
            <w:sz w:val="20"/>
            <w:szCs w:val="20"/>
          </w:rPr>
          <w:id w:val="-544147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06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5326D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Vorplanung oder Entwurfsplanung als Einzelleistung</w:t>
      </w:r>
      <w:r w:rsidR="00C5326D">
        <w:rPr>
          <w:rFonts w:ascii="Arial" w:hAnsi="Arial" w:cs="Arial"/>
          <w:sz w:val="20"/>
          <w:szCs w:val="20"/>
        </w:rPr>
        <w:tab/>
      </w:r>
      <w:r w:rsidR="00C5326D">
        <w:rPr>
          <w:shd w:val="clear" w:color="auto" w:fill="D9D9D9" w:themeFill="background1" w:themeFillShade="D9"/>
        </w:rPr>
        <w:tab/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57E1" w:rsidRPr="007B01EF" w:rsidRDefault="00E157E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7339F9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1.2 Besondere Leistungen (§</w:t>
      </w:r>
      <w:r w:rsidR="00CE161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01EF">
        <w:rPr>
          <w:rFonts w:ascii="Arial" w:hAnsi="Arial" w:cs="Arial"/>
          <w:b/>
          <w:bCs/>
          <w:sz w:val="20"/>
          <w:szCs w:val="20"/>
        </w:rPr>
        <w:t>34 und Anlage 10 HOAI)</w:t>
      </w:r>
    </w:p>
    <w:p w:rsidR="007B01EF" w:rsidRDefault="007B01EF" w:rsidP="007339F9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7B01EF" w:rsidRPr="007B01EF" w:rsidRDefault="00CE161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Honorarhöhe:</w:t>
      </w:r>
    </w:p>
    <w:p w:rsidR="007B01EF" w:rsidRPr="007B01EF" w:rsidRDefault="00CE161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pauschal / als Stundensatz /</w:t>
      </w:r>
    </w:p>
    <w:p w:rsidR="007B01EF" w:rsidRPr="007B01EF" w:rsidRDefault="00CE161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als Prozentsatz vom Honorar</w:t>
      </w:r>
    </w:p>
    <w:p w:rsidR="007B01EF" w:rsidRPr="007B01EF" w:rsidRDefault="00CE1611" w:rsidP="00140F0C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1EF" w:rsidRPr="007B01EF">
        <w:rPr>
          <w:rFonts w:ascii="Arial" w:hAnsi="Arial" w:cs="Arial"/>
          <w:sz w:val="20"/>
          <w:szCs w:val="20"/>
        </w:rPr>
        <w:t>für Leistungen gemäß § 1.1</w:t>
      </w:r>
    </w:p>
    <w:p w:rsidR="007B01EF" w:rsidRPr="007B01EF" w:rsidRDefault="007B01EF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20 </w:t>
      </w:r>
      <w:sdt>
        <w:sdtPr>
          <w:rPr>
            <w:rFonts w:ascii="Arial" w:hAnsi="Arial" w:cs="Arial"/>
            <w:sz w:val="20"/>
            <w:szCs w:val="20"/>
          </w:rPr>
          <w:id w:val="-84109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Aufstellen eines Raumprogramms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21</w:t>
      </w:r>
      <w:r w:rsidR="00CE161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446509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7B01EF">
        <w:rPr>
          <w:rFonts w:ascii="Arial" w:hAnsi="Arial" w:cs="Arial"/>
          <w:sz w:val="20"/>
          <w:szCs w:val="20"/>
        </w:rPr>
        <w:t xml:space="preserve"> Bestandsaufnahme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22 </w:t>
      </w:r>
      <w:sdt>
        <w:sdtPr>
          <w:rPr>
            <w:rFonts w:ascii="Arial" w:hAnsi="Arial" w:cs="Arial"/>
            <w:sz w:val="20"/>
            <w:szCs w:val="20"/>
          </w:rPr>
          <w:id w:val="-80230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Bestandspläne prüfen, anpassen, erstellen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CE1611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23 </w:t>
      </w:r>
      <w:sdt>
        <w:sdtPr>
          <w:rPr>
            <w:rFonts w:ascii="Arial" w:hAnsi="Arial" w:cs="Arial"/>
            <w:sz w:val="20"/>
            <w:szCs w:val="20"/>
          </w:rPr>
          <w:id w:val="264052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  <w:t>t</w:t>
      </w:r>
      <w:r w:rsidR="007B01EF" w:rsidRPr="007B01EF">
        <w:rPr>
          <w:rFonts w:ascii="Arial" w:hAnsi="Arial" w:cs="Arial"/>
          <w:sz w:val="20"/>
          <w:szCs w:val="20"/>
        </w:rPr>
        <w:t>echnische Substanzerkennung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24 </w:t>
      </w:r>
      <w:sdt>
        <w:sdtPr>
          <w:rPr>
            <w:rFonts w:ascii="Arial" w:hAnsi="Arial" w:cs="Arial"/>
            <w:sz w:val="20"/>
            <w:szCs w:val="20"/>
          </w:rPr>
          <w:id w:val="-1533104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Untersuchen alternativer Lösungsansätze nach verschiedenen</w:t>
      </w:r>
      <w:r w:rsidR="00CE1611">
        <w:rPr>
          <w:rFonts w:ascii="Arial" w:hAnsi="Arial" w:cs="Arial"/>
          <w:sz w:val="20"/>
          <w:szCs w:val="20"/>
        </w:rPr>
        <w:t xml:space="preserve"> 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Anforderungen einschließlich Kostenbewertung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25 </w:t>
      </w:r>
      <w:sdt>
        <w:sdtPr>
          <w:rPr>
            <w:rFonts w:ascii="Arial" w:hAnsi="Arial" w:cs="Arial"/>
            <w:sz w:val="20"/>
            <w:szCs w:val="20"/>
          </w:rPr>
          <w:id w:val="-1070575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Aufstellen einer vertieften Kostenschätzung nach Positionen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einzelner Gewerke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keepNext/>
        <w:keepLines/>
        <w:tabs>
          <w:tab w:val="left" w:pos="1418"/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26 </w:t>
      </w:r>
      <w:sdt>
        <w:sdtPr>
          <w:rPr>
            <w:rFonts w:ascii="Arial" w:hAnsi="Arial" w:cs="Arial"/>
            <w:sz w:val="20"/>
            <w:szCs w:val="20"/>
          </w:rPr>
          <w:id w:val="-1811316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Aufstellen von Raumbüchern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27 </w:t>
      </w:r>
      <w:sdt>
        <w:sdtPr>
          <w:rPr>
            <w:rFonts w:ascii="Arial" w:hAnsi="Arial" w:cs="Arial"/>
            <w:sz w:val="20"/>
            <w:szCs w:val="20"/>
          </w:rPr>
          <w:id w:val="2093806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Erarbeiten und Erstellen von besonderen bauordnungsrechtlichen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Nachweisen für den vorbeugenden und organisatorischen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Brandschutz bei baulichen Anlagen besonderer Art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und Nutzung, Bestandsbauten oder im Falle von Abweichungen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von der Bauordnung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28 </w:t>
      </w:r>
      <w:sdt>
        <w:sdtPr>
          <w:rPr>
            <w:rFonts w:ascii="Arial" w:hAnsi="Arial" w:cs="Arial"/>
            <w:sz w:val="20"/>
            <w:szCs w:val="20"/>
          </w:rPr>
          <w:id w:val="1000384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Analyse der Alternativen/Varianten und deren Wertung mit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Kostenuntersuchung (Optimierung)</w:t>
      </w:r>
      <w:r w:rsidR="00223C27" w:rsidRPr="00223C27">
        <w:rPr>
          <w:rFonts w:ascii="Arial" w:hAnsi="Arial" w:cs="Arial"/>
          <w:sz w:val="20"/>
          <w:szCs w:val="20"/>
        </w:rPr>
        <w:t xml:space="preserve"> 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29 </w:t>
      </w:r>
      <w:sdt>
        <w:sdtPr>
          <w:rPr>
            <w:rFonts w:ascii="Arial" w:hAnsi="Arial" w:cs="Arial"/>
            <w:sz w:val="20"/>
            <w:szCs w:val="20"/>
          </w:rPr>
          <w:id w:val="-109964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Aufstellen und Fortschreiben einer vertieften Kostenberechnung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30 </w:t>
      </w:r>
      <w:sdt>
        <w:sdtPr>
          <w:rPr>
            <w:rFonts w:ascii="Arial" w:hAnsi="Arial" w:cs="Arial"/>
            <w:sz w:val="20"/>
            <w:szCs w:val="20"/>
          </w:rPr>
          <w:id w:val="-2106175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Fortschreiben von Raumbüchern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31 </w:t>
      </w:r>
      <w:sdt>
        <w:sdtPr>
          <w:rPr>
            <w:rFonts w:ascii="Arial" w:hAnsi="Arial" w:cs="Arial"/>
            <w:sz w:val="20"/>
            <w:szCs w:val="20"/>
          </w:rPr>
          <w:id w:val="-2012286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Nachweise, insbesondere technischer, konstruktiver und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bauphysikalischer Art für die Erlangung behördlicher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Zustimmung im Einzelfall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32 </w:t>
      </w:r>
      <w:sdt>
        <w:sdtPr>
          <w:rPr>
            <w:rFonts w:ascii="Arial" w:hAnsi="Arial" w:cs="Arial"/>
            <w:sz w:val="20"/>
            <w:szCs w:val="20"/>
          </w:rPr>
          <w:id w:val="-32458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Fachliche und organisatorische Unterstützung des Bauherrn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im Widerspruchsverfahren, Klageverfahren oder ähnlichen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Verfahren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33 </w:t>
      </w:r>
      <w:sdt>
        <w:sdtPr>
          <w:rPr>
            <w:rFonts w:ascii="Arial" w:hAnsi="Arial" w:cs="Arial"/>
            <w:sz w:val="20"/>
            <w:szCs w:val="20"/>
          </w:rPr>
          <w:id w:val="86772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Prüfen der vom bauausführenden Unternehmen auf Grund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der Leistungsbeschreibung mit Leistungsprogramm ausgearbeiteten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Ausführungspläne auf Übereinstimmung mit der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Entwurfsplanung *)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34 </w:t>
      </w:r>
      <w:sdt>
        <w:sdtPr>
          <w:rPr>
            <w:rFonts w:ascii="Arial" w:hAnsi="Arial" w:cs="Arial"/>
            <w:sz w:val="20"/>
            <w:szCs w:val="20"/>
          </w:rPr>
          <w:id w:val="859086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Fortschreiben vom Raumbüchern in detaillierter Form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CE1611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35 </w:t>
      </w:r>
      <w:sdt>
        <w:sdtPr>
          <w:rPr>
            <w:rFonts w:ascii="Arial" w:hAnsi="Arial" w:cs="Arial"/>
            <w:sz w:val="20"/>
            <w:szCs w:val="20"/>
          </w:rPr>
          <w:id w:val="1886989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Prüfen und Anerkennen von Plänen Dritter, nicht an der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Planung fachlicher Beteiligter auf Übereinstimmung mit den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Ausführungsplänen (zum Beispiel Werkstattzeichnungen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von Unternehmen, Aufstellungs- und Fundamentpläne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nutzungsspezifischer oder betriebstechnischer Anlagen),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soweit die Leistungen Anlagen betreffen, die in den anrechenbaren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Kosten nicht erfasst sind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36 </w:t>
      </w:r>
      <w:sdt>
        <w:sdtPr>
          <w:rPr>
            <w:rFonts w:ascii="Arial" w:hAnsi="Arial" w:cs="Arial"/>
            <w:sz w:val="20"/>
            <w:szCs w:val="20"/>
          </w:rPr>
          <w:id w:val="-864294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Aufstellen der Leistungsbeschreibungen mit Leistungsprogramm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auf der Grundlage der detaillierten Objektbeschreibung</w:t>
      </w:r>
      <w:r w:rsidR="00CE161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*)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37 </w:t>
      </w:r>
      <w:sdt>
        <w:sdtPr>
          <w:rPr>
            <w:rFonts w:ascii="Arial" w:hAnsi="Arial" w:cs="Arial"/>
            <w:sz w:val="20"/>
            <w:szCs w:val="20"/>
          </w:rPr>
          <w:id w:val="750782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Prüfen und Werten von Nebenangeboten mit Auswirkungen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auf die abgestimmte Planung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38 </w:t>
      </w:r>
      <w:sdt>
        <w:sdtPr>
          <w:rPr>
            <w:rFonts w:ascii="Arial" w:hAnsi="Arial" w:cs="Arial"/>
            <w:sz w:val="20"/>
            <w:szCs w:val="20"/>
          </w:rPr>
          <w:id w:val="-2049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Fachliche Vorbereitung und Mitwirken bei</w:t>
      </w:r>
      <w:r w:rsidR="00223C27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Nachprüfungsverfahren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39</w:t>
      </w:r>
      <w:r w:rsidR="00CE161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560981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Mitwirken bei der Prüfung von bauwirtschaftlich begründeten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Nachtragsangeboten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40 </w:t>
      </w:r>
      <w:sdt>
        <w:sdtPr>
          <w:rPr>
            <w:rFonts w:ascii="Arial" w:hAnsi="Arial" w:cs="Arial"/>
            <w:sz w:val="20"/>
            <w:szCs w:val="20"/>
          </w:rPr>
          <w:id w:val="-1134405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Prüfen und Werten der Angebote aus Leistungsbeschreibung</w:t>
      </w:r>
      <w:r w:rsidR="00CE1611">
        <w:rPr>
          <w:rFonts w:ascii="Arial" w:hAnsi="Arial" w:cs="Arial"/>
          <w:sz w:val="20"/>
          <w:szCs w:val="20"/>
        </w:rPr>
        <w:br/>
      </w:r>
      <w:r w:rsidRPr="007B01EF">
        <w:rPr>
          <w:rFonts w:ascii="Arial" w:hAnsi="Arial" w:cs="Arial"/>
          <w:sz w:val="20"/>
          <w:szCs w:val="20"/>
        </w:rPr>
        <w:t>mit Leistungsprogramm einschließlich Preisspiegel *)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41 </w:t>
      </w:r>
      <w:sdt>
        <w:sdtPr>
          <w:rPr>
            <w:rFonts w:ascii="Arial" w:hAnsi="Arial" w:cs="Arial"/>
            <w:sz w:val="20"/>
            <w:szCs w:val="20"/>
          </w:rPr>
          <w:id w:val="-481927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Überwachen der Mängelbeseitigung innerhalb der</w:t>
      </w:r>
      <w:r w:rsidR="00223C27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Verjährungsfrist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42 </w:t>
      </w:r>
      <w:sdt>
        <w:sdtPr>
          <w:rPr>
            <w:rFonts w:ascii="Arial" w:hAnsi="Arial" w:cs="Arial"/>
            <w:sz w:val="20"/>
            <w:szCs w:val="20"/>
          </w:rPr>
          <w:id w:val="1202061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Erstellen von Wartungs- und Pflegeanweisungen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43 </w:t>
      </w:r>
      <w:sdt>
        <w:sdtPr>
          <w:rPr>
            <w:rFonts w:ascii="Arial" w:hAnsi="Arial" w:cs="Arial"/>
            <w:sz w:val="20"/>
            <w:szCs w:val="20"/>
          </w:rPr>
          <w:id w:val="384382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Erstellen eines Instandhaltungskonzepts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44 </w:t>
      </w:r>
      <w:sdt>
        <w:sdtPr>
          <w:rPr>
            <w:rFonts w:ascii="Arial" w:hAnsi="Arial" w:cs="Arial"/>
            <w:sz w:val="20"/>
            <w:szCs w:val="20"/>
          </w:rPr>
          <w:id w:val="-19334242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3C27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CE1611">
        <w:rPr>
          <w:rFonts w:ascii="Arial" w:hAnsi="Arial" w:cs="Arial"/>
          <w:sz w:val="20"/>
          <w:szCs w:val="20"/>
        </w:rPr>
        <w:tab/>
      </w:r>
      <w:r w:rsidRPr="007B01EF">
        <w:rPr>
          <w:rFonts w:ascii="Arial" w:hAnsi="Arial" w:cs="Arial"/>
          <w:sz w:val="20"/>
          <w:szCs w:val="20"/>
        </w:rPr>
        <w:t>Baubegehung nach Übergabe</w:t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45</w:t>
      </w:r>
      <w:r w:rsidR="00223C2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9020162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3C27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P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46</w:t>
      </w:r>
      <w:r w:rsidR="00223C2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9696599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3C27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7B01EF" w:rsidRDefault="007B01EF" w:rsidP="00223C27">
      <w:pPr>
        <w:tabs>
          <w:tab w:val="left" w:pos="7088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47</w:t>
      </w:r>
      <w:r w:rsidR="00223C2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8632828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3C27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rFonts w:ascii="Arial" w:hAnsi="Arial" w:cs="Arial"/>
          <w:sz w:val="20"/>
          <w:szCs w:val="20"/>
        </w:rPr>
        <w:tab/>
      </w:r>
      <w:r w:rsidR="00223C27">
        <w:rPr>
          <w:shd w:val="clear" w:color="auto" w:fill="D9D9D9" w:themeFill="background1" w:themeFillShade="D9"/>
        </w:rPr>
        <w:tab/>
      </w:r>
    </w:p>
    <w:p w:rsidR="00CE1611" w:rsidRPr="007B01EF" w:rsidRDefault="00CE1611" w:rsidP="00140F0C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*) Diese Besondere Leistung wird bei einer Leistungsbeschreibung mit Leistungsprogramm ganz oder</w:t>
      </w:r>
      <w:r w:rsidR="00CE161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teilweise zur Grundleistung. In diesem Fall entfallen die entsprechenden Grundleistungen dieser</w:t>
      </w:r>
      <w:r w:rsidR="00CE1611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Leistungsphase.</w:t>
      </w:r>
    </w:p>
    <w:p w:rsidR="00CE1611" w:rsidRDefault="00CE1611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223C27" w:rsidRDefault="00223C27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 2 Stufenweise Beauftragung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1. Stufe:</w:t>
      </w:r>
    </w:p>
    <w:p w:rsidR="007B01EF" w:rsidRPr="007B01EF" w:rsidRDefault="007B01EF" w:rsidP="00B609A4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Ordnungsnummern:</w:t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B609A4">
        <w:rPr>
          <w:shd w:val="clear" w:color="auto" w:fill="D9D9D9" w:themeFill="background1" w:themeFillShade="D9"/>
        </w:rPr>
        <w:tab/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2. Stufe:</w:t>
      </w:r>
    </w:p>
    <w:p w:rsidR="007B01EF" w:rsidRPr="007B01EF" w:rsidRDefault="007B01EF" w:rsidP="00B609A4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Ordnungsnummern:</w:t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B609A4">
        <w:rPr>
          <w:shd w:val="clear" w:color="auto" w:fill="D9D9D9" w:themeFill="background1" w:themeFillShade="D9"/>
        </w:rPr>
        <w:tab/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3. Stufe:</w:t>
      </w:r>
    </w:p>
    <w:p w:rsidR="007B01EF" w:rsidRPr="007B01EF" w:rsidRDefault="007B01EF" w:rsidP="00B609A4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Ordnungsnummern:</w:t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B609A4">
        <w:rPr>
          <w:shd w:val="clear" w:color="auto" w:fill="D9D9D9" w:themeFill="background1" w:themeFillShade="D9"/>
        </w:rPr>
        <w:tab/>
      </w:r>
    </w:p>
    <w:p w:rsidR="00223C27" w:rsidRDefault="00223C2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 3 Honorar des AN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3.1 Honorargrundlagen für Grundleistungen (§34 Abs. 4 i.V.m. Anlage 10.1 HOAI)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Honorarzone</w:t>
      </w:r>
      <w:r w:rsidR="0036104C" w:rsidRPr="0036104C">
        <w:rPr>
          <w:rStyle w:val="Funotenzeichen"/>
          <w:rFonts w:ascii="Arial" w:hAnsi="Arial" w:cs="Arial"/>
          <w:b/>
          <w:sz w:val="24"/>
          <w:szCs w:val="24"/>
        </w:rPr>
        <w:footnoteReference w:id="1"/>
      </w:r>
      <w:r w:rsidRPr="007B01EF">
        <w:rPr>
          <w:rFonts w:ascii="Arial" w:hAnsi="Arial" w:cs="Arial"/>
          <w:sz w:val="20"/>
          <w:szCs w:val="20"/>
        </w:rPr>
        <w:t xml:space="preserve"> (§ 35 Abs. 2–7 HOAI):</w:t>
      </w:r>
    </w:p>
    <w:p w:rsidR="007B01EF" w:rsidRPr="007B01EF" w:rsidRDefault="007A7FB1" w:rsidP="007A7FB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als vorläufige Festlegung (bis zum Feststehen aller für den Schwierigkeitsgrad maßgeblichen</w:t>
      </w:r>
      <w:r w:rsidR="0036104C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Bewertungsmerkmale)</w:t>
      </w:r>
    </w:p>
    <w:p w:rsidR="007B01EF" w:rsidRPr="007B01EF" w:rsidRDefault="007A7FB1" w:rsidP="007A7FB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  <w:r>
        <w:rPr>
          <w:rFonts w:ascii="Arial" w:hAnsi="Arial" w:cs="Arial"/>
          <w:sz w:val="20"/>
          <w:szCs w:val="20"/>
        </w:rPr>
        <w:t xml:space="preserve"> a</w:t>
      </w:r>
      <w:r w:rsidR="007B01EF" w:rsidRPr="007B01EF">
        <w:rPr>
          <w:rFonts w:ascii="Arial" w:hAnsi="Arial" w:cs="Arial"/>
          <w:sz w:val="20"/>
          <w:szCs w:val="20"/>
        </w:rPr>
        <w:t>ls abschließende Festlegung</w:t>
      </w:r>
    </w:p>
    <w:p w:rsidR="007B01EF" w:rsidRPr="007B01EF" w:rsidRDefault="007B01EF" w:rsidP="007A7FB1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Honorarsatz:</w:t>
      </w:r>
      <w:r w:rsidR="00F22CC6">
        <w:rPr>
          <w:rStyle w:val="Funotenzeichen"/>
          <w:rFonts w:ascii="Arial" w:hAnsi="Arial" w:cs="Arial"/>
          <w:sz w:val="20"/>
          <w:szCs w:val="20"/>
        </w:rPr>
        <w:footnoteReference w:id="2"/>
      </w:r>
      <w:r w:rsidR="007A7FB1" w:rsidRPr="007A7FB1">
        <w:rPr>
          <w:shd w:val="clear" w:color="auto" w:fill="D9D9D9" w:themeFill="background1" w:themeFillShade="D9"/>
        </w:rPr>
        <w:t xml:space="preserve"> </w:t>
      </w:r>
      <w:r w:rsidR="007A7FB1">
        <w:rPr>
          <w:shd w:val="clear" w:color="auto" w:fill="D9D9D9" w:themeFill="background1" w:themeFillShade="D9"/>
        </w:rPr>
        <w:tab/>
        <w:t xml:space="preserve"> </w:t>
      </w:r>
      <w:r w:rsidRPr="007B01EF">
        <w:rPr>
          <w:rFonts w:ascii="Arial" w:hAnsi="Arial" w:cs="Arial"/>
          <w:sz w:val="20"/>
          <w:szCs w:val="20"/>
        </w:rPr>
        <w:t>§</w:t>
      </w:r>
      <w:r w:rsidR="00F22CC6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35 Abs. 1 HOAI)</w:t>
      </w:r>
    </w:p>
    <w:p w:rsidR="0036104C" w:rsidRDefault="0036104C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Anrechenbare Kosten:</w:t>
      </w:r>
    </w:p>
    <w:p w:rsidR="007B01EF" w:rsidRPr="00F50242" w:rsidRDefault="003A5B5B" w:rsidP="007339F9">
      <w:pPr>
        <w:pStyle w:val="Listenabsatz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09976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339F9">
        <w:rPr>
          <w:rFonts w:ascii="Arial" w:hAnsi="Arial" w:cs="Arial"/>
          <w:sz w:val="20"/>
          <w:szCs w:val="20"/>
        </w:rPr>
        <w:tab/>
      </w:r>
      <w:r w:rsidR="007B01EF" w:rsidRPr="00F50242">
        <w:rPr>
          <w:rFonts w:ascii="Arial" w:hAnsi="Arial" w:cs="Arial"/>
          <w:sz w:val="20"/>
          <w:szCs w:val="20"/>
        </w:rPr>
        <w:t>Die anrechenbaren Kosten werden ermittelt nach DIN 276-1 Fassung 2008-12.</w:t>
      </w:r>
    </w:p>
    <w:p w:rsidR="004E7069" w:rsidRDefault="003A5B5B" w:rsidP="00223C27">
      <w:pPr>
        <w:pStyle w:val="Listenabsatz"/>
        <w:autoSpaceDE w:val="0"/>
        <w:autoSpaceDN w:val="0"/>
        <w:adjustRightInd w:val="0"/>
        <w:spacing w:after="0" w:line="360" w:lineRule="auto"/>
        <w:ind w:hanging="43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84012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339F9">
        <w:rPr>
          <w:rFonts w:ascii="Arial" w:hAnsi="Arial" w:cs="Arial"/>
          <w:sz w:val="20"/>
          <w:szCs w:val="20"/>
        </w:rPr>
        <w:tab/>
      </w:r>
      <w:r w:rsidR="007B01EF" w:rsidRPr="00F50242">
        <w:rPr>
          <w:rFonts w:ascii="Arial" w:hAnsi="Arial" w:cs="Arial"/>
          <w:sz w:val="20"/>
          <w:szCs w:val="20"/>
        </w:rPr>
        <w:t>Die anrechenbaren Kosten werden ermittelt nach</w:t>
      </w:r>
      <w:r w:rsidR="00F50242" w:rsidRPr="00F50242">
        <w:rPr>
          <w:rFonts w:ascii="Arial" w:hAnsi="Arial" w:cs="Arial"/>
          <w:sz w:val="20"/>
          <w:szCs w:val="20"/>
        </w:rPr>
        <w:t xml:space="preserve"> </w:t>
      </w:r>
    </w:p>
    <w:p w:rsidR="004E7069" w:rsidRPr="00F50242" w:rsidRDefault="004E7069" w:rsidP="004E7069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4E7069" w:rsidRDefault="004E7069" w:rsidP="00223C27">
      <w:pPr>
        <w:pStyle w:val="Listenabsatz"/>
        <w:autoSpaceDE w:val="0"/>
        <w:autoSpaceDN w:val="0"/>
        <w:adjustRightInd w:val="0"/>
        <w:spacing w:after="0" w:line="360" w:lineRule="auto"/>
        <w:ind w:hanging="436"/>
        <w:rPr>
          <w:rFonts w:ascii="Arial" w:hAnsi="Arial" w:cs="Arial"/>
          <w:sz w:val="20"/>
          <w:szCs w:val="20"/>
        </w:rPr>
      </w:pPr>
    </w:p>
    <w:p w:rsidR="007B01EF" w:rsidRDefault="007B01EF" w:rsidP="00223C27">
      <w:pPr>
        <w:pStyle w:val="Listenabsatz"/>
        <w:autoSpaceDE w:val="0"/>
        <w:autoSpaceDN w:val="0"/>
        <w:adjustRightInd w:val="0"/>
        <w:spacing w:after="0" w:line="360" w:lineRule="auto"/>
        <w:ind w:hanging="436"/>
        <w:rPr>
          <w:rFonts w:ascii="Arial" w:hAnsi="Arial" w:cs="Arial"/>
          <w:sz w:val="20"/>
          <w:szCs w:val="20"/>
        </w:rPr>
      </w:pPr>
      <w:r w:rsidRPr="00F50242">
        <w:rPr>
          <w:rFonts w:ascii="Arial" w:hAnsi="Arial" w:cs="Arial"/>
          <w:sz w:val="20"/>
          <w:szCs w:val="20"/>
        </w:rPr>
        <w:t>Zuschlag für Umbau/</w:t>
      </w:r>
      <w:r w:rsidR="00223C27" w:rsidRPr="00F50242">
        <w:rPr>
          <w:rFonts w:ascii="Arial" w:hAnsi="Arial" w:cs="Arial"/>
          <w:sz w:val="20"/>
          <w:szCs w:val="20"/>
        </w:rPr>
        <w:t>Modernisierung:</w:t>
      </w:r>
      <w:r w:rsidR="00223C27">
        <w:rPr>
          <w:rFonts w:ascii="Arial" w:hAnsi="Arial" w:cs="Arial"/>
          <w:sz w:val="20"/>
          <w:szCs w:val="20"/>
        </w:rPr>
        <w:t xml:space="preserve"> _</w:t>
      </w:r>
      <w:r w:rsidR="00F22CC6">
        <w:rPr>
          <w:rFonts w:ascii="Arial" w:hAnsi="Arial" w:cs="Arial"/>
          <w:sz w:val="20"/>
          <w:szCs w:val="20"/>
        </w:rPr>
        <w:t>___________</w:t>
      </w:r>
      <w:r w:rsidRPr="00F50242">
        <w:rPr>
          <w:rFonts w:ascii="Arial" w:hAnsi="Arial" w:cs="Arial"/>
          <w:sz w:val="20"/>
          <w:szCs w:val="20"/>
        </w:rPr>
        <w:t>% (§</w:t>
      </w:r>
      <w:r w:rsidR="00F22CC6">
        <w:rPr>
          <w:rFonts w:ascii="Arial" w:hAnsi="Arial" w:cs="Arial"/>
          <w:sz w:val="20"/>
          <w:szCs w:val="20"/>
        </w:rPr>
        <w:t xml:space="preserve"> </w:t>
      </w:r>
      <w:r w:rsidRPr="00F50242">
        <w:rPr>
          <w:rFonts w:ascii="Arial" w:hAnsi="Arial" w:cs="Arial"/>
          <w:sz w:val="20"/>
          <w:szCs w:val="20"/>
        </w:rPr>
        <w:t>36 HOAI)</w:t>
      </w:r>
    </w:p>
    <w:p w:rsidR="00F50242" w:rsidRDefault="00F50242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Unabhängig vom Umbauzuschlag sind anrechenbare Kosten aus vorhandener Bausubstanz gemäß §</w:t>
      </w:r>
      <w:r w:rsidR="007A7FB1">
        <w:rPr>
          <w:rFonts w:ascii="Arial" w:hAnsi="Arial" w:cs="Arial"/>
          <w:sz w:val="20"/>
          <w:szCs w:val="20"/>
        </w:rPr>
        <w:t> </w:t>
      </w:r>
      <w:r w:rsidRPr="007B01EF">
        <w:rPr>
          <w:rFonts w:ascii="Arial" w:hAnsi="Arial" w:cs="Arial"/>
          <w:sz w:val="20"/>
          <w:szCs w:val="20"/>
        </w:rPr>
        <w:t>4</w:t>
      </w:r>
      <w:r w:rsidR="00F50242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Abs. 3 HOAI angemessen zu berücksichtigen. Diese werden</w:t>
      </w:r>
    </w:p>
    <w:p w:rsidR="007B01EF" w:rsidRPr="00F50242" w:rsidRDefault="003A5B5B" w:rsidP="00223C27">
      <w:pPr>
        <w:pStyle w:val="Listenabsatz"/>
        <w:tabs>
          <w:tab w:val="left" w:pos="2977"/>
        </w:tabs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17449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339F9">
        <w:rPr>
          <w:rFonts w:ascii="Arial" w:hAnsi="Arial" w:cs="Arial"/>
          <w:sz w:val="20"/>
          <w:szCs w:val="20"/>
        </w:rPr>
        <w:tab/>
      </w:r>
      <w:r w:rsidR="007B01EF" w:rsidRPr="00F50242">
        <w:rPr>
          <w:rFonts w:ascii="Arial" w:hAnsi="Arial" w:cs="Arial"/>
          <w:sz w:val="20"/>
          <w:szCs w:val="20"/>
        </w:rPr>
        <w:t xml:space="preserve">mit </w:t>
      </w:r>
      <w:r w:rsidR="007A7FB1">
        <w:rPr>
          <w:shd w:val="clear" w:color="auto" w:fill="D9D9D9" w:themeFill="background1" w:themeFillShade="D9"/>
        </w:rPr>
        <w:tab/>
      </w:r>
      <w:r w:rsidR="00F50242">
        <w:rPr>
          <w:rFonts w:ascii="Arial" w:hAnsi="Arial" w:cs="Arial"/>
          <w:sz w:val="20"/>
          <w:szCs w:val="20"/>
        </w:rPr>
        <w:t xml:space="preserve"> </w:t>
      </w:r>
      <w:r w:rsidR="007B01EF" w:rsidRPr="00F50242">
        <w:rPr>
          <w:rFonts w:ascii="Arial" w:hAnsi="Arial" w:cs="Arial"/>
          <w:sz w:val="20"/>
          <w:szCs w:val="20"/>
        </w:rPr>
        <w:t>€ festgelegt.</w:t>
      </w:r>
    </w:p>
    <w:p w:rsidR="007B01EF" w:rsidRPr="00F50242" w:rsidRDefault="003A5B5B" w:rsidP="007339F9">
      <w:pPr>
        <w:pStyle w:val="Listenabsatz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30930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9F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339F9">
        <w:rPr>
          <w:rFonts w:ascii="Arial" w:hAnsi="Arial" w:cs="Arial"/>
          <w:sz w:val="20"/>
          <w:szCs w:val="20"/>
        </w:rPr>
        <w:tab/>
      </w:r>
      <w:r w:rsidR="007B01EF" w:rsidRPr="00F50242">
        <w:rPr>
          <w:rFonts w:ascii="Arial" w:hAnsi="Arial" w:cs="Arial"/>
          <w:sz w:val="20"/>
          <w:szCs w:val="20"/>
        </w:rPr>
        <w:t>noch einvernehmlich festgelegt.</w:t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Nebenkosten: siehe Teil A § 4.4</w:t>
      </w:r>
    </w:p>
    <w:p w:rsidR="00F50242" w:rsidRPr="007B01EF" w:rsidRDefault="00F50242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3.2 Besondere Leistungen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Für die bereits beauftragten Besonderen Leistungen ist die Honorarhöhe in § 1.2 festgelegt:</w:t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Für Besondere Leistungen, die nachträglich beauftragt werden, werden AG und AN eine Vergütungsvereinbarung</w:t>
      </w:r>
      <w:r w:rsidR="00227563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als Pauschale, als Stundensatz oder als Prozentsatz vom Honorar für Leistungen gemäß §1.1</w:t>
      </w:r>
      <w:r w:rsidR="00227563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treffen.</w:t>
      </w:r>
    </w:p>
    <w:p w:rsidR="00227563" w:rsidRPr="007B01EF" w:rsidRDefault="00227563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7560B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3.3 Vergütung bei anrechenbaren Kosten außerhalb der Tafelwerte des §35 Abs. 1 HOAI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a) Da die anrechenbaren Kosten des Objekts außerhalb der Tafelwerte</w:t>
      </w:r>
      <w:r w:rsidR="00227563" w:rsidRPr="00227563">
        <w:rPr>
          <w:rStyle w:val="Funotenzeichen"/>
          <w:rFonts w:ascii="Arial" w:hAnsi="Arial" w:cs="Arial"/>
          <w:b/>
          <w:sz w:val="24"/>
          <w:szCs w:val="24"/>
        </w:rPr>
        <w:footnoteReference w:id="3"/>
      </w:r>
      <w:r w:rsidRPr="007B01EF">
        <w:rPr>
          <w:rFonts w:ascii="Arial" w:hAnsi="Arial" w:cs="Arial"/>
          <w:sz w:val="20"/>
          <w:szCs w:val="20"/>
        </w:rPr>
        <w:t xml:space="preserve"> liegen, vereinbaren AG und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AN die Honorarhöhe wie folgt:</w:t>
      </w:r>
    </w:p>
    <w:p w:rsidR="007B01EF" w:rsidRPr="007B01EF" w:rsidRDefault="003A5B5B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1995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AA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D6AAE" w:rsidRPr="007B01EF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Das Honorar bestimmt sich nach den in diesem Vertrag (insbesondere Teil B9 §3.1 für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Grundleistungen, §1.2 für Besondere Leistungen und Teil A §4.4) getroffenen Vereinbarungen.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Es ergibt sich aus der Fortschreibung der Honorartafel des §35 HOAI durch die</w:t>
      </w: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Richtlinien der Staatlichen Vermögens- und Hochbauverwaltung Baden-Württemberg für die</w:t>
      </w:r>
      <w:r w:rsidR="005C7EA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Beteiligung freiberuflich Tätiger (RifT) gemäß Anlage B9.1.</w:t>
      </w:r>
    </w:p>
    <w:p w:rsidR="007B01EF" w:rsidRDefault="007B01EF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Die Honorarhöhe wird (ggf. ergänzend zu in diesem Vertrag bereits getroffenen</w:t>
      </w:r>
      <w:r w:rsidR="005C7EA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Vereinbarungen) wie folgt vereinbart:</w:t>
      </w:r>
    </w:p>
    <w:p w:rsidR="00B93792" w:rsidRDefault="00223C27" w:rsidP="00D86433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B93792" w:rsidRDefault="00B93792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6433" w:rsidRPr="007B01EF" w:rsidRDefault="00D86433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 xml:space="preserve">b) Falls </w:t>
      </w:r>
      <w:r w:rsidR="00B93792">
        <w:rPr>
          <w:rFonts w:ascii="Arial" w:hAnsi="Arial" w:cs="Arial"/>
          <w:sz w:val="20"/>
          <w:szCs w:val="20"/>
        </w:rPr>
        <w:t>die Parteien in 3.1 ein Berechnungshonorar auf Basis der</w:t>
      </w:r>
      <w:r w:rsidRPr="007B01EF">
        <w:rPr>
          <w:rFonts w:ascii="Arial" w:hAnsi="Arial" w:cs="Arial"/>
          <w:sz w:val="20"/>
          <w:szCs w:val="20"/>
        </w:rPr>
        <w:t xml:space="preserve"> anrechenbaren Kosten des Objekts</w:t>
      </w:r>
      <w:r w:rsidR="00B93792">
        <w:rPr>
          <w:rFonts w:ascii="Arial" w:hAnsi="Arial" w:cs="Arial"/>
          <w:sz w:val="20"/>
          <w:szCs w:val="20"/>
        </w:rPr>
        <w:t xml:space="preserve"> orientiert an den in § 35 Abs. 1 genannten Tafelwerten vereinbart haben und überschreiten die anrechenbaren Kosten die dort bezeichneten Tafelwerte</w:t>
      </w:r>
      <w:r w:rsidRPr="007B01EF">
        <w:rPr>
          <w:rFonts w:ascii="Arial" w:hAnsi="Arial" w:cs="Arial"/>
          <w:sz w:val="20"/>
          <w:szCs w:val="20"/>
        </w:rPr>
        <w:t>, vereinbaren AG und AN bereits jetzt die</w:t>
      </w:r>
      <w:r w:rsidR="00B93792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Weitergeltung der Honorarparameter bzw. Vereinbarungen dieses Vertrags und die Fortschreibung der</w:t>
      </w:r>
      <w:r w:rsidR="00B93792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anrechenbaren Kosten durch:</w:t>
      </w:r>
    </w:p>
    <w:p w:rsidR="007B01EF" w:rsidRPr="007B01EF" w:rsidRDefault="003A5B5B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24108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AA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D6AAE">
        <w:rPr>
          <w:rFonts w:ascii="Arial" w:hAnsi="Arial" w:cs="Arial"/>
          <w:sz w:val="20"/>
          <w:szCs w:val="20"/>
        </w:rPr>
        <w:t xml:space="preserve"> d</w:t>
      </w:r>
      <w:r w:rsidR="007B01EF" w:rsidRPr="007B01EF">
        <w:rPr>
          <w:rFonts w:ascii="Arial" w:hAnsi="Arial" w:cs="Arial"/>
          <w:sz w:val="20"/>
          <w:szCs w:val="20"/>
        </w:rPr>
        <w:t>ie erweiterte Honorartafel nach den Richtlinien der Staatlichen Vermögens- und Hochbauverwaltung</w:t>
      </w:r>
    </w:p>
    <w:p w:rsidR="007D6AAE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Baden-Württemberg für die Beteiligung freiberuflich Tätiger (RifT) gemäß Anlage B9.1.</w:t>
      </w:r>
      <w:r w:rsidR="005C7EAC">
        <w:rPr>
          <w:rFonts w:ascii="Arial" w:hAnsi="Arial" w:cs="Arial"/>
          <w:sz w:val="20"/>
          <w:szCs w:val="20"/>
        </w:rPr>
        <w:t xml:space="preserve"> </w:t>
      </w:r>
    </w:p>
    <w:p w:rsidR="007B01EF" w:rsidRDefault="007D6AAE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D6AAE">
        <w:rPr>
          <w:rFonts w:ascii="Segoe UI Symbol" w:hAnsi="Segoe UI Symbol" w:cs="Segoe UI Symbol"/>
          <w:sz w:val="20"/>
          <w:szCs w:val="20"/>
        </w:rPr>
        <w:t>☐</w:t>
      </w:r>
      <w:r w:rsidRPr="007D6AAE">
        <w:rPr>
          <w:rFonts w:ascii="Arial" w:hAnsi="Arial" w:cs="Arial"/>
          <w:sz w:val="20"/>
          <w:szCs w:val="20"/>
        </w:rPr>
        <w:t xml:space="preserve"> </w:t>
      </w:r>
      <w:r w:rsidR="007B01EF" w:rsidRPr="007B01EF">
        <w:rPr>
          <w:rFonts w:ascii="Arial" w:hAnsi="Arial" w:cs="Arial"/>
          <w:sz w:val="20"/>
          <w:szCs w:val="20"/>
        </w:rPr>
        <w:t>die Fortschreibung der anrechenbaren Kosten gemäß folgender Festlegung:</w:t>
      </w:r>
    </w:p>
    <w:p w:rsidR="00140F0C" w:rsidRDefault="00223C27" w:rsidP="00223C27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223C27" w:rsidRPr="007B01EF" w:rsidRDefault="00223C27" w:rsidP="00223C27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3.4 Fortschreibung der Kostenberechnung, Honorarzone bei Änderungen</w:t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Bei Änderungen oder Erweiterungen des Bauobjekts bzw. der Planungsvorgaben ist die Kostenberechnung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 xml:space="preserve">für die Honorarermittlung </w:t>
      </w:r>
      <w:r w:rsidR="00140F0C">
        <w:rPr>
          <w:rFonts w:ascii="Arial" w:hAnsi="Arial" w:cs="Arial"/>
          <w:sz w:val="20"/>
          <w:szCs w:val="20"/>
        </w:rPr>
        <w:t xml:space="preserve">falls die Parteien die Kostenberechnung als Grundlage der Honorarermittlung vereinbart haben </w:t>
      </w:r>
      <w:r w:rsidRPr="007B01EF">
        <w:rPr>
          <w:rFonts w:ascii="Arial" w:hAnsi="Arial" w:cs="Arial"/>
          <w:sz w:val="20"/>
          <w:szCs w:val="20"/>
        </w:rPr>
        <w:t>entsprechend fortzuschreiben. Der AG verpflichtet sich, den AN über derartige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Umstände zu informieren und dem AN auf Verlangen die maßgeblichen Unterlagen bzw. Nachweise bezüglich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der fortgeschriebenen Kostenberechnung oder die fortgeschriebene Kostenberechnung zukommen zu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lassen.</w:t>
      </w:r>
    </w:p>
    <w:p w:rsidR="00140F0C" w:rsidRPr="007B01EF" w:rsidRDefault="00140F0C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Soweit Änderungen erfolgen, die Auswirkungen auf die Planungsanforderungen haben, verpflichten sich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140F0C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Honorarzone.</w:t>
      </w:r>
    </w:p>
    <w:p w:rsidR="007B01EF" w:rsidRDefault="007B01EF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§10 HOAI bleibt unberührt.</w:t>
      </w:r>
      <w:r w:rsidR="00140F0C">
        <w:rPr>
          <w:rFonts w:ascii="Arial" w:hAnsi="Arial" w:cs="Arial"/>
          <w:sz w:val="20"/>
          <w:szCs w:val="20"/>
        </w:rPr>
        <w:t xml:space="preserve"> </w:t>
      </w:r>
    </w:p>
    <w:p w:rsidR="00140F0C" w:rsidRDefault="00140F0C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6433" w:rsidRPr="007B01EF" w:rsidRDefault="00D86433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7560B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 4 Planungsgrundlagen</w:t>
      </w:r>
    </w:p>
    <w:p w:rsidR="007B01EF" w:rsidRDefault="007B01EF" w:rsidP="007560B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0E0805">
        <w:rPr>
          <w:rFonts w:ascii="Arial" w:hAnsi="Arial" w:cs="Arial"/>
          <w:sz w:val="20"/>
          <w:szCs w:val="20"/>
        </w:rPr>
        <w:t xml:space="preserve"> </w:t>
      </w:r>
      <w:r w:rsidRPr="007B01EF">
        <w:rPr>
          <w:rFonts w:ascii="Arial" w:hAnsi="Arial" w:cs="Arial"/>
          <w:sz w:val="20"/>
          <w:szCs w:val="20"/>
        </w:rPr>
        <w:t>sind:</w:t>
      </w:r>
    </w:p>
    <w:p w:rsidR="007B01EF" w:rsidRDefault="007B01EF" w:rsidP="007560B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bereits vorliegende Unterlagen:</w:t>
      </w:r>
    </w:p>
    <w:p w:rsidR="00D86433" w:rsidRDefault="00D86433" w:rsidP="00D86433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0E0805" w:rsidRPr="007B01EF" w:rsidRDefault="000E0805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Default="007B01EF" w:rsidP="00D864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noch nicht vorliegende Unterlagen:</w:t>
      </w:r>
    </w:p>
    <w:p w:rsidR="00D86433" w:rsidRDefault="00D86433" w:rsidP="00D86433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0E0805" w:rsidRDefault="000E0805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E0805" w:rsidRPr="007B01EF" w:rsidRDefault="000E0805" w:rsidP="00140F0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1EF" w:rsidRPr="007B01EF" w:rsidRDefault="007B01EF" w:rsidP="000E0805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B01EF">
        <w:rPr>
          <w:rFonts w:ascii="Arial" w:hAnsi="Arial" w:cs="Arial"/>
          <w:b/>
          <w:bCs/>
          <w:sz w:val="20"/>
          <w:szCs w:val="20"/>
        </w:rPr>
        <w:t>§</w:t>
      </w:r>
      <w:r w:rsidR="000E080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01EF">
        <w:rPr>
          <w:rFonts w:ascii="Arial" w:hAnsi="Arial" w:cs="Arial"/>
          <w:b/>
          <w:bCs/>
          <w:sz w:val="20"/>
          <w:szCs w:val="20"/>
        </w:rPr>
        <w:t>5 Sonstige Vereinbarungen</w:t>
      </w:r>
    </w:p>
    <w:p w:rsidR="007B01EF" w:rsidRDefault="007B01EF" w:rsidP="000E0805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B01EF">
        <w:rPr>
          <w:rFonts w:ascii="Arial" w:hAnsi="Arial" w:cs="Arial"/>
          <w:sz w:val="20"/>
          <w:szCs w:val="20"/>
        </w:rPr>
        <w:t>AG und AN treffen folgende weitere Vereinbarungen:</w:t>
      </w:r>
    </w:p>
    <w:p w:rsidR="00D86433" w:rsidRDefault="00D86433" w:rsidP="00D86433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0E0805" w:rsidRDefault="000E0805" w:rsidP="000E0805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6433" w:rsidRDefault="00D86433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6433" w:rsidRDefault="00D86433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6433" w:rsidRDefault="00D86433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6433" w:rsidRDefault="00D86433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E7FE1" w:rsidRDefault="00DE7FE1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DE7FE1" w:rsidRPr="005E7F84" w:rsidRDefault="00DE7FE1" w:rsidP="00DE7FE1">
      <w:pPr>
        <w:tabs>
          <w:tab w:val="left" w:pos="623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Ort, Datum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Ort, Datum</w:t>
      </w:r>
    </w:p>
    <w:p w:rsidR="00DE7FE1" w:rsidRDefault="00DE7FE1" w:rsidP="00DE7FE1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DE7FE1" w:rsidRDefault="00DE7FE1" w:rsidP="00DE7FE1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DE7FE1" w:rsidRDefault="00DE7FE1" w:rsidP="00DE7FE1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DE7FE1" w:rsidRDefault="00DE7FE1" w:rsidP="00DE7FE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055607" w:rsidRPr="007B01EF" w:rsidRDefault="00DE7FE1" w:rsidP="00DE7FE1">
      <w:pPr>
        <w:tabs>
          <w:tab w:val="left" w:pos="6237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für den AG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für den AN</w:t>
      </w:r>
    </w:p>
    <w:sectPr w:rsidR="00055607" w:rsidRPr="007B01EF" w:rsidSect="00B26992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B5B" w:rsidRDefault="003A5B5B" w:rsidP="0036104C">
      <w:pPr>
        <w:spacing w:after="0" w:line="240" w:lineRule="auto"/>
      </w:pPr>
      <w:r>
        <w:separator/>
      </w:r>
    </w:p>
  </w:endnote>
  <w:endnote w:type="continuationSeparator" w:id="0">
    <w:p w:rsidR="003A5B5B" w:rsidRDefault="003A5B5B" w:rsidP="0036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B5B" w:rsidRDefault="003A5B5B" w:rsidP="0036104C">
      <w:pPr>
        <w:spacing w:after="0" w:line="240" w:lineRule="auto"/>
      </w:pPr>
      <w:r>
        <w:separator/>
      </w:r>
    </w:p>
  </w:footnote>
  <w:footnote w:type="continuationSeparator" w:id="0">
    <w:p w:rsidR="003A5B5B" w:rsidRDefault="003A5B5B" w:rsidP="0036104C">
      <w:pPr>
        <w:spacing w:after="0" w:line="240" w:lineRule="auto"/>
      </w:pPr>
      <w:r>
        <w:continuationSeparator/>
      </w:r>
    </w:p>
  </w:footnote>
  <w:footnote w:id="1">
    <w:p w:rsidR="0036104C" w:rsidRPr="00227563" w:rsidRDefault="0036104C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227563">
        <w:rPr>
          <w:rFonts w:ascii="Arial" w:hAnsi="Arial" w:cs="Arial"/>
          <w:sz w:val="18"/>
          <w:szCs w:val="18"/>
        </w:rPr>
        <w:t>Die Vereinbarung einer Honorarzone bzw. eine</w:t>
      </w:r>
      <w:r w:rsidR="00223C27">
        <w:rPr>
          <w:rFonts w:ascii="Arial" w:hAnsi="Arial" w:cs="Arial"/>
          <w:sz w:val="18"/>
          <w:szCs w:val="18"/>
        </w:rPr>
        <w:t>s</w:t>
      </w:r>
      <w:r w:rsidRPr="00227563">
        <w:rPr>
          <w:rFonts w:ascii="Arial" w:hAnsi="Arial" w:cs="Arial"/>
          <w:sz w:val="18"/>
          <w:szCs w:val="18"/>
        </w:rPr>
        <w:t xml:space="preserve"> Honorarsatzes sind </w:t>
      </w:r>
      <w:r w:rsidR="009C1CA7">
        <w:rPr>
          <w:rFonts w:ascii="Arial" w:hAnsi="Arial" w:cs="Arial"/>
          <w:sz w:val="18"/>
          <w:szCs w:val="18"/>
        </w:rPr>
        <w:t xml:space="preserve">nur </w:t>
      </w:r>
      <w:r w:rsidRPr="00227563">
        <w:rPr>
          <w:rFonts w:ascii="Arial" w:hAnsi="Arial" w:cs="Arial"/>
          <w:sz w:val="18"/>
          <w:szCs w:val="18"/>
        </w:rPr>
        <w:t>erforderlich, wenn die Parteien nachfolgend ein Berechnungshonorar nach den Parametern der HOAI vereinbaren.</w:t>
      </w:r>
    </w:p>
  </w:footnote>
  <w:footnote w:id="2">
    <w:p w:rsidR="00F22CC6" w:rsidRDefault="00F22CC6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513ADD">
        <w:rPr>
          <w:rFonts w:ascii="Arial" w:hAnsi="Arial" w:cs="Arial"/>
          <w:sz w:val="18"/>
          <w:szCs w:val="18"/>
        </w:rPr>
        <w:t xml:space="preserve">Es besteht keine Bindung </w:t>
      </w:r>
      <w:r>
        <w:rPr>
          <w:rFonts w:ascii="Arial" w:hAnsi="Arial" w:cs="Arial"/>
          <w:sz w:val="18"/>
          <w:szCs w:val="18"/>
        </w:rPr>
        <w:t>an § 7 Abs. 1 HOAI (Mindest- und Höchstsätze) in der derzeit gültigen Fassung. Das Honorar kann grundsätzlich frei vereinbart werden. Wird das Honorar als Berechnungshonorar unter Bezugnahme auf die Honorarsätze des § 48 Abs. 1 HOAI vereinbart, können Zu- bzw. Abschläge auf die Honorarsätze vereinbart werden, die für die Berechnung des Honorars maßgeblich sind.</w:t>
      </w:r>
    </w:p>
  </w:footnote>
  <w:footnote w:id="3">
    <w:p w:rsidR="00227563" w:rsidRPr="00227563" w:rsidRDefault="00227563">
      <w:pPr>
        <w:pStyle w:val="Funotentext"/>
        <w:rPr>
          <w:rFonts w:ascii="Arial" w:hAnsi="Arial" w:cs="Arial"/>
          <w:sz w:val="18"/>
          <w:szCs w:val="18"/>
        </w:rPr>
      </w:pPr>
      <w:r w:rsidRPr="00227563">
        <w:rPr>
          <w:rStyle w:val="Funotenzeichen"/>
          <w:rFonts w:ascii="Arial" w:hAnsi="Arial" w:cs="Arial"/>
          <w:sz w:val="18"/>
          <w:szCs w:val="18"/>
        </w:rPr>
        <w:footnoteRef/>
      </w:r>
      <w:r w:rsidRPr="00227563">
        <w:rPr>
          <w:rFonts w:ascii="Arial" w:hAnsi="Arial" w:cs="Arial"/>
          <w:sz w:val="18"/>
          <w:szCs w:val="18"/>
        </w:rPr>
        <w:t xml:space="preserve"> Die Tafelwerte der HOAI als Bezugsgröße für ein Berechnungshonorar sind gesetzlich nicht bindend und können abweichend vereinbart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36104C" w:rsidRPr="0036104C" w:rsidRDefault="0036104C">
        <w:pPr>
          <w:pStyle w:val="Kopfzeile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-</w:t>
        </w:r>
        <w:r w:rsidRPr="0036104C">
          <w:rPr>
            <w:rFonts w:ascii="Arial" w:hAnsi="Arial" w:cs="Arial"/>
            <w:sz w:val="20"/>
            <w:szCs w:val="20"/>
          </w:rPr>
          <w:t xml:space="preserve"> </w: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36104C">
          <w:rPr>
            <w:rFonts w:ascii="Arial" w:hAnsi="Arial" w:cs="Arial"/>
            <w:bCs/>
            <w:sz w:val="20"/>
            <w:szCs w:val="20"/>
          </w:rPr>
          <w:instrText>PAGE</w:instrTex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4E7069">
          <w:rPr>
            <w:rFonts w:ascii="Arial" w:hAnsi="Arial" w:cs="Arial"/>
            <w:bCs/>
            <w:noProof/>
            <w:sz w:val="20"/>
            <w:szCs w:val="20"/>
          </w:rPr>
          <w:t>5</w: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end"/>
        </w:r>
        <w:r w:rsidRPr="0036104C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/</w:t>
        </w:r>
        <w:r w:rsidRPr="0036104C">
          <w:rPr>
            <w:rFonts w:ascii="Arial" w:hAnsi="Arial" w:cs="Arial"/>
            <w:sz w:val="20"/>
            <w:szCs w:val="20"/>
          </w:rPr>
          <w:t xml:space="preserve"> </w: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36104C">
          <w:rPr>
            <w:rFonts w:ascii="Arial" w:hAnsi="Arial" w:cs="Arial"/>
            <w:bCs/>
            <w:sz w:val="20"/>
            <w:szCs w:val="20"/>
          </w:rPr>
          <w:instrText>NUMPAGES</w:instrTex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4E7069">
          <w:rPr>
            <w:rFonts w:ascii="Arial" w:hAnsi="Arial" w:cs="Arial"/>
            <w:bCs/>
            <w:noProof/>
            <w:sz w:val="20"/>
            <w:szCs w:val="20"/>
          </w:rPr>
          <w:t>7</w:t>
        </w:r>
        <w:r w:rsidRPr="0036104C">
          <w:rPr>
            <w:rFonts w:ascii="Arial" w:hAnsi="Arial" w:cs="Arial"/>
            <w:bCs/>
            <w:sz w:val="20"/>
            <w:szCs w:val="20"/>
          </w:rPr>
          <w:fldChar w:fldCharType="end"/>
        </w:r>
        <w:r>
          <w:rPr>
            <w:rFonts w:ascii="Arial" w:hAnsi="Arial" w:cs="Arial"/>
            <w:bCs/>
            <w:sz w:val="20"/>
            <w:szCs w:val="20"/>
          </w:rPr>
          <w:t xml:space="preserve"> -</w:t>
        </w:r>
      </w:p>
    </w:sdtContent>
  </w:sdt>
  <w:p w:rsidR="0036104C" w:rsidRDefault="0036104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41F54"/>
    <w:multiLevelType w:val="hybridMultilevel"/>
    <w:tmpl w:val="FFBA38FA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32C50"/>
    <w:multiLevelType w:val="hybridMultilevel"/>
    <w:tmpl w:val="65B0AE20"/>
    <w:lvl w:ilvl="0" w:tplc="F1EC78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9 Detaillierte Regelungen für Gebäude und Innenräume"/>
    <w:docVar w:name="DDNr" w:val="D18/D404-20"/>
    <w:docVar w:name="DDNummerPH" w:val="fehlt"/>
    <w:docVar w:name="DMSunterordner" w:val="78579"/>
    <w:docVar w:name="EAStatus" w:val="0"/>
    <w:docVar w:name="RADKS" w:val="#;$a;@"/>
    <w:docVar w:name="Rubrik" w:val="solleer"/>
    <w:docVar w:name="Schlagwort" w:val="solleer"/>
  </w:docVars>
  <w:rsids>
    <w:rsidRoot w:val="007B01EF"/>
    <w:rsid w:val="0001306D"/>
    <w:rsid w:val="00023C3A"/>
    <w:rsid w:val="00025C03"/>
    <w:rsid w:val="00027BD8"/>
    <w:rsid w:val="00033874"/>
    <w:rsid w:val="00033EDF"/>
    <w:rsid w:val="00036148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6482"/>
    <w:rsid w:val="000E0805"/>
    <w:rsid w:val="000F2F41"/>
    <w:rsid w:val="000F5268"/>
    <w:rsid w:val="0011378A"/>
    <w:rsid w:val="00114E89"/>
    <w:rsid w:val="00140C0D"/>
    <w:rsid w:val="00140F0C"/>
    <w:rsid w:val="0014118C"/>
    <w:rsid w:val="0014355B"/>
    <w:rsid w:val="00155210"/>
    <w:rsid w:val="001576A5"/>
    <w:rsid w:val="00165A2E"/>
    <w:rsid w:val="0019094C"/>
    <w:rsid w:val="00192FE6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81E"/>
    <w:rsid w:val="001F3F97"/>
    <w:rsid w:val="00204316"/>
    <w:rsid w:val="002054DF"/>
    <w:rsid w:val="00206817"/>
    <w:rsid w:val="00221457"/>
    <w:rsid w:val="00223B76"/>
    <w:rsid w:val="00223C27"/>
    <w:rsid w:val="00227563"/>
    <w:rsid w:val="0025039E"/>
    <w:rsid w:val="00257F59"/>
    <w:rsid w:val="00266211"/>
    <w:rsid w:val="00272720"/>
    <w:rsid w:val="002732ED"/>
    <w:rsid w:val="00280D6D"/>
    <w:rsid w:val="002846C4"/>
    <w:rsid w:val="00292022"/>
    <w:rsid w:val="002A00C3"/>
    <w:rsid w:val="002A1704"/>
    <w:rsid w:val="002A47EE"/>
    <w:rsid w:val="002B2E9A"/>
    <w:rsid w:val="002B6FC8"/>
    <w:rsid w:val="002C7835"/>
    <w:rsid w:val="002D22F9"/>
    <w:rsid w:val="002E2601"/>
    <w:rsid w:val="002F092B"/>
    <w:rsid w:val="00300968"/>
    <w:rsid w:val="00315D48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6104C"/>
    <w:rsid w:val="0037631A"/>
    <w:rsid w:val="0038265C"/>
    <w:rsid w:val="00386F81"/>
    <w:rsid w:val="0039067B"/>
    <w:rsid w:val="003A10D4"/>
    <w:rsid w:val="003A2144"/>
    <w:rsid w:val="003A5B5B"/>
    <w:rsid w:val="003A6195"/>
    <w:rsid w:val="003A66EE"/>
    <w:rsid w:val="003B114C"/>
    <w:rsid w:val="003C1296"/>
    <w:rsid w:val="003C39ED"/>
    <w:rsid w:val="003C4CF5"/>
    <w:rsid w:val="003E2EE8"/>
    <w:rsid w:val="00401881"/>
    <w:rsid w:val="004042E8"/>
    <w:rsid w:val="0040612F"/>
    <w:rsid w:val="00407CD7"/>
    <w:rsid w:val="00411737"/>
    <w:rsid w:val="00421100"/>
    <w:rsid w:val="0042218F"/>
    <w:rsid w:val="004250AC"/>
    <w:rsid w:val="0042775A"/>
    <w:rsid w:val="004404D0"/>
    <w:rsid w:val="00443A05"/>
    <w:rsid w:val="00445ED3"/>
    <w:rsid w:val="00452974"/>
    <w:rsid w:val="00461F48"/>
    <w:rsid w:val="004628B8"/>
    <w:rsid w:val="004735A2"/>
    <w:rsid w:val="00474586"/>
    <w:rsid w:val="0047675C"/>
    <w:rsid w:val="00476E33"/>
    <w:rsid w:val="00477ED0"/>
    <w:rsid w:val="00482A81"/>
    <w:rsid w:val="00487E9D"/>
    <w:rsid w:val="004949B0"/>
    <w:rsid w:val="004B4E1B"/>
    <w:rsid w:val="004B537F"/>
    <w:rsid w:val="004C71C3"/>
    <w:rsid w:val="004C7A66"/>
    <w:rsid w:val="004D2A3B"/>
    <w:rsid w:val="004E7069"/>
    <w:rsid w:val="004F0690"/>
    <w:rsid w:val="004F38C5"/>
    <w:rsid w:val="0050603B"/>
    <w:rsid w:val="005061A1"/>
    <w:rsid w:val="00513B46"/>
    <w:rsid w:val="00515A09"/>
    <w:rsid w:val="00515B6F"/>
    <w:rsid w:val="0052272E"/>
    <w:rsid w:val="00534E3B"/>
    <w:rsid w:val="0054203C"/>
    <w:rsid w:val="005446B6"/>
    <w:rsid w:val="00545151"/>
    <w:rsid w:val="0054737F"/>
    <w:rsid w:val="00550977"/>
    <w:rsid w:val="00553B1E"/>
    <w:rsid w:val="00565E42"/>
    <w:rsid w:val="00587D38"/>
    <w:rsid w:val="0059112C"/>
    <w:rsid w:val="0059138E"/>
    <w:rsid w:val="005A2C48"/>
    <w:rsid w:val="005C1425"/>
    <w:rsid w:val="005C2B15"/>
    <w:rsid w:val="005C3528"/>
    <w:rsid w:val="005C769D"/>
    <w:rsid w:val="005C7EAC"/>
    <w:rsid w:val="005E40CF"/>
    <w:rsid w:val="005F5528"/>
    <w:rsid w:val="00602062"/>
    <w:rsid w:val="0061035C"/>
    <w:rsid w:val="006114FF"/>
    <w:rsid w:val="00612858"/>
    <w:rsid w:val="00620E0C"/>
    <w:rsid w:val="00632CB7"/>
    <w:rsid w:val="00643FEF"/>
    <w:rsid w:val="006472AA"/>
    <w:rsid w:val="00653263"/>
    <w:rsid w:val="006636E0"/>
    <w:rsid w:val="006820CC"/>
    <w:rsid w:val="00683429"/>
    <w:rsid w:val="00695006"/>
    <w:rsid w:val="00697FDA"/>
    <w:rsid w:val="006D091D"/>
    <w:rsid w:val="006D1EA8"/>
    <w:rsid w:val="006D5416"/>
    <w:rsid w:val="006E1B38"/>
    <w:rsid w:val="006E2B5F"/>
    <w:rsid w:val="006F1830"/>
    <w:rsid w:val="007101A9"/>
    <w:rsid w:val="00724499"/>
    <w:rsid w:val="00724FD2"/>
    <w:rsid w:val="007251C0"/>
    <w:rsid w:val="007339F9"/>
    <w:rsid w:val="0074015A"/>
    <w:rsid w:val="00744EA1"/>
    <w:rsid w:val="007504F6"/>
    <w:rsid w:val="00751128"/>
    <w:rsid w:val="00751765"/>
    <w:rsid w:val="007560B7"/>
    <w:rsid w:val="0076379A"/>
    <w:rsid w:val="007845AD"/>
    <w:rsid w:val="00785824"/>
    <w:rsid w:val="00791BEB"/>
    <w:rsid w:val="007A45BE"/>
    <w:rsid w:val="007A4F42"/>
    <w:rsid w:val="007A6050"/>
    <w:rsid w:val="007A66A7"/>
    <w:rsid w:val="007A7FB1"/>
    <w:rsid w:val="007B01EF"/>
    <w:rsid w:val="007B7537"/>
    <w:rsid w:val="007C1323"/>
    <w:rsid w:val="007C44D0"/>
    <w:rsid w:val="007D0468"/>
    <w:rsid w:val="007D1151"/>
    <w:rsid w:val="007D6AAE"/>
    <w:rsid w:val="007E618C"/>
    <w:rsid w:val="007F4087"/>
    <w:rsid w:val="008106FF"/>
    <w:rsid w:val="00815E4B"/>
    <w:rsid w:val="0082228B"/>
    <w:rsid w:val="0082230C"/>
    <w:rsid w:val="008378D8"/>
    <w:rsid w:val="0085603A"/>
    <w:rsid w:val="00856FE1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C1CA7"/>
    <w:rsid w:val="009D1E12"/>
    <w:rsid w:val="009D495B"/>
    <w:rsid w:val="009E66D8"/>
    <w:rsid w:val="009F1FFE"/>
    <w:rsid w:val="009F392E"/>
    <w:rsid w:val="009F3FB3"/>
    <w:rsid w:val="009F4B77"/>
    <w:rsid w:val="009F5B1E"/>
    <w:rsid w:val="00A16DA4"/>
    <w:rsid w:val="00A1712F"/>
    <w:rsid w:val="00A21A19"/>
    <w:rsid w:val="00A2440C"/>
    <w:rsid w:val="00A27262"/>
    <w:rsid w:val="00A35545"/>
    <w:rsid w:val="00A4382D"/>
    <w:rsid w:val="00A4782D"/>
    <w:rsid w:val="00A54D83"/>
    <w:rsid w:val="00A62BEA"/>
    <w:rsid w:val="00A70FFA"/>
    <w:rsid w:val="00A75536"/>
    <w:rsid w:val="00A8524F"/>
    <w:rsid w:val="00A85C3B"/>
    <w:rsid w:val="00A9438A"/>
    <w:rsid w:val="00AA1520"/>
    <w:rsid w:val="00AA2DD9"/>
    <w:rsid w:val="00AA7BF4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716B"/>
    <w:rsid w:val="00B26992"/>
    <w:rsid w:val="00B31576"/>
    <w:rsid w:val="00B33CAA"/>
    <w:rsid w:val="00B37607"/>
    <w:rsid w:val="00B431AF"/>
    <w:rsid w:val="00B46735"/>
    <w:rsid w:val="00B609A4"/>
    <w:rsid w:val="00B60A94"/>
    <w:rsid w:val="00B74C52"/>
    <w:rsid w:val="00B74C84"/>
    <w:rsid w:val="00B76776"/>
    <w:rsid w:val="00B7708C"/>
    <w:rsid w:val="00B86C63"/>
    <w:rsid w:val="00B92E2F"/>
    <w:rsid w:val="00B93792"/>
    <w:rsid w:val="00B964DF"/>
    <w:rsid w:val="00BA59B1"/>
    <w:rsid w:val="00BE7A51"/>
    <w:rsid w:val="00BF4E3C"/>
    <w:rsid w:val="00C15D19"/>
    <w:rsid w:val="00C20689"/>
    <w:rsid w:val="00C255D1"/>
    <w:rsid w:val="00C271E5"/>
    <w:rsid w:val="00C445B9"/>
    <w:rsid w:val="00C516C7"/>
    <w:rsid w:val="00C5326D"/>
    <w:rsid w:val="00C570C8"/>
    <w:rsid w:val="00C6222B"/>
    <w:rsid w:val="00C62F01"/>
    <w:rsid w:val="00C7343E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46F7"/>
    <w:rsid w:val="00CD5633"/>
    <w:rsid w:val="00CD747F"/>
    <w:rsid w:val="00CE1611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60FCB"/>
    <w:rsid w:val="00D64FA7"/>
    <w:rsid w:val="00D66283"/>
    <w:rsid w:val="00D66AED"/>
    <w:rsid w:val="00D711CA"/>
    <w:rsid w:val="00D76795"/>
    <w:rsid w:val="00D7711C"/>
    <w:rsid w:val="00D817D9"/>
    <w:rsid w:val="00D84033"/>
    <w:rsid w:val="00D84312"/>
    <w:rsid w:val="00D86433"/>
    <w:rsid w:val="00DA70E7"/>
    <w:rsid w:val="00DC3313"/>
    <w:rsid w:val="00DC43A2"/>
    <w:rsid w:val="00DC4815"/>
    <w:rsid w:val="00DC5BFB"/>
    <w:rsid w:val="00DC5D91"/>
    <w:rsid w:val="00DE7FE1"/>
    <w:rsid w:val="00DF7019"/>
    <w:rsid w:val="00E1042A"/>
    <w:rsid w:val="00E13503"/>
    <w:rsid w:val="00E157E1"/>
    <w:rsid w:val="00E17B72"/>
    <w:rsid w:val="00E2097F"/>
    <w:rsid w:val="00E212BC"/>
    <w:rsid w:val="00E24B34"/>
    <w:rsid w:val="00E24B4B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C161C"/>
    <w:rsid w:val="00EC2F02"/>
    <w:rsid w:val="00EC7BCC"/>
    <w:rsid w:val="00ED5371"/>
    <w:rsid w:val="00EF3FF0"/>
    <w:rsid w:val="00EF5AD8"/>
    <w:rsid w:val="00F00E44"/>
    <w:rsid w:val="00F03E7B"/>
    <w:rsid w:val="00F22CC6"/>
    <w:rsid w:val="00F272DA"/>
    <w:rsid w:val="00F32EAD"/>
    <w:rsid w:val="00F40D2C"/>
    <w:rsid w:val="00F42D8C"/>
    <w:rsid w:val="00F4458B"/>
    <w:rsid w:val="00F50242"/>
    <w:rsid w:val="00F570BC"/>
    <w:rsid w:val="00F5718A"/>
    <w:rsid w:val="00F81AB0"/>
    <w:rsid w:val="00F91663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132D0"/>
  <w15:chartTrackingRefBased/>
  <w15:docId w15:val="{BAA92F72-25FD-4CA8-A950-8D85FD0E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36104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6104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6104C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361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6104C"/>
  </w:style>
  <w:style w:type="paragraph" w:styleId="Fuzeile">
    <w:name w:val="footer"/>
    <w:basedOn w:val="Standard"/>
    <w:link w:val="FuzeileZchn"/>
    <w:uiPriority w:val="99"/>
    <w:unhideWhenUsed/>
    <w:rsid w:val="00361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6104C"/>
  </w:style>
  <w:style w:type="paragraph" w:styleId="Listenabsatz">
    <w:name w:val="List Paragraph"/>
    <w:basedOn w:val="Standard"/>
    <w:uiPriority w:val="34"/>
    <w:qFormat/>
    <w:rsid w:val="00F50242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6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26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1284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3</cp:revision>
  <cp:lastPrinted>2020-03-11T08:50:00Z</cp:lastPrinted>
  <dcterms:created xsi:type="dcterms:W3CDTF">2020-08-19T13:33:00Z</dcterms:created>
  <dcterms:modified xsi:type="dcterms:W3CDTF">2020-08-19T14:30:00Z</dcterms:modified>
</cp:coreProperties>
</file>